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56" w:rsidRDefault="00D854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5456" w:rsidRDefault="00D854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54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5456" w:rsidRDefault="00D85456">
            <w:pPr>
              <w:pStyle w:val="ConsPlusNormal"/>
            </w:pPr>
            <w:r>
              <w:t>24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5456" w:rsidRDefault="00D85456">
            <w:pPr>
              <w:pStyle w:val="ConsPlusNormal"/>
              <w:jc w:val="right"/>
            </w:pPr>
            <w:r>
              <w:t>N 160-ОЗ</w:t>
            </w:r>
          </w:p>
        </w:tc>
      </w:tr>
    </w:tbl>
    <w:p w:rsidR="00D85456" w:rsidRDefault="00D85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jc w:val="center"/>
      </w:pPr>
      <w:r>
        <w:t>КЕМЕРОВСКАЯ ОБЛАСТЬ - КУЗБАСС</w:t>
      </w:r>
    </w:p>
    <w:p w:rsidR="00D85456" w:rsidRDefault="00D85456">
      <w:pPr>
        <w:pStyle w:val="ConsPlusTitle"/>
        <w:jc w:val="both"/>
      </w:pPr>
    </w:p>
    <w:p w:rsidR="00D85456" w:rsidRDefault="00D85456">
      <w:pPr>
        <w:pStyle w:val="ConsPlusTitle"/>
        <w:jc w:val="center"/>
      </w:pPr>
      <w:r>
        <w:t>ЗАКОН</w:t>
      </w:r>
    </w:p>
    <w:p w:rsidR="00D85456" w:rsidRDefault="00D85456">
      <w:pPr>
        <w:pStyle w:val="ConsPlusTitle"/>
        <w:jc w:val="both"/>
      </w:pPr>
    </w:p>
    <w:p w:rsidR="00D85456" w:rsidRDefault="00D85456">
      <w:pPr>
        <w:pStyle w:val="ConsPlusTitle"/>
        <w:jc w:val="center"/>
      </w:pPr>
      <w:r>
        <w:t>О РЕГИОНАЛЬНЫХ ИНВЕСТИЦИОННЫХ ПРОЕКТАХ</w:t>
      </w:r>
    </w:p>
    <w:p w:rsidR="00D85456" w:rsidRDefault="00D85456">
      <w:pPr>
        <w:pStyle w:val="ConsPlusTitle"/>
        <w:jc w:val="center"/>
      </w:pPr>
      <w:r>
        <w:t>В КЕМЕРОВСКОЙ ОБЛАСТИ - КУЗБАССЕ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jc w:val="right"/>
      </w:pPr>
      <w:r>
        <w:t>Принят</w:t>
      </w:r>
    </w:p>
    <w:p w:rsidR="00D85456" w:rsidRDefault="00D85456">
      <w:pPr>
        <w:pStyle w:val="ConsPlusNormal"/>
        <w:jc w:val="right"/>
      </w:pPr>
      <w:r>
        <w:t>Законодательным Собранием</w:t>
      </w:r>
    </w:p>
    <w:p w:rsidR="00D85456" w:rsidRDefault="00D85456">
      <w:pPr>
        <w:pStyle w:val="ConsPlusNormal"/>
        <w:jc w:val="right"/>
      </w:pPr>
      <w:r>
        <w:t>Кемеровской области - Кузбасса</w:t>
      </w:r>
    </w:p>
    <w:p w:rsidR="00D85456" w:rsidRDefault="00D85456">
      <w:pPr>
        <w:pStyle w:val="ConsPlusNormal"/>
        <w:jc w:val="right"/>
      </w:pPr>
      <w:r>
        <w:t>20 декабря 2019 года</w:t>
      </w:r>
    </w:p>
    <w:p w:rsidR="00D85456" w:rsidRDefault="00D854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56" w:rsidRDefault="00D854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56" w:rsidRDefault="00D854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56" w:rsidRDefault="00D854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456" w:rsidRDefault="00D8545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 - Кузбасса</w:t>
            </w:r>
          </w:p>
          <w:p w:rsidR="00D85456" w:rsidRDefault="00D854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5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24.04.2023 </w:t>
            </w:r>
            <w:hyperlink r:id="rId6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56" w:rsidRDefault="00D85456">
            <w:pPr>
              <w:pStyle w:val="ConsPlusNormal"/>
            </w:pPr>
          </w:p>
        </w:tc>
      </w:tr>
    </w:tbl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7">
        <w:r>
          <w:rPr>
            <w:color w:val="0000FF"/>
          </w:rPr>
          <w:t>главой 3.3</w:t>
        </w:r>
      </w:hyperlink>
      <w:r>
        <w:t xml:space="preserve"> Налогового кодекса Российской Федерации определяет порядок принятия решения о включении или об отказе во включении организации в реестр участников региональных инвестиционных проектов (далее также - реестр), порядок и условия принятия решения о внесении изменений в реестр, не связанных с прекращением статуса участника регионального инвестиционного проекта, устанавливает дополнительные требования в отношении региональных инвестиционных проектов, а также устанавливает налоговые льготы по налогу на прибыль организаций и налогу на имущество организаций, подлежащих зачислению в бюджет Кемеровской области - Кузбасса.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2. Уполномоченный орган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r>
        <w:t>Уполномоченным органом Кемеровской области - Кузбасса на принятие решений о включении или об отказе во включении организации в реестр, а также на внесение изменений в инвестиционную декларацию и в реестр является исполнительный орган Кемеровской области - Кузбасса специальной компетенции, реализующий государственную политику в сфере создания благоприятных условий для развития инвестиционной и инновационной деятельности в Кемеровской области (далее - уполномоченный орган).</w:t>
      </w:r>
    </w:p>
    <w:p w:rsidR="00D85456" w:rsidRDefault="00D85456">
      <w:pPr>
        <w:pStyle w:val="ConsPlusNormal"/>
        <w:jc w:val="both"/>
      </w:pPr>
      <w:r>
        <w:t xml:space="preserve">(в ред. Законов Кемеровской области - Кузбасса от 30.11.2022 </w:t>
      </w:r>
      <w:hyperlink r:id="rId8">
        <w:r>
          <w:rPr>
            <w:color w:val="0000FF"/>
          </w:rPr>
          <w:t>N 132-ОЗ</w:t>
        </w:r>
      </w:hyperlink>
      <w:r>
        <w:t xml:space="preserve">, от 24.04.2023 </w:t>
      </w:r>
      <w:hyperlink r:id="rId9">
        <w:r>
          <w:rPr>
            <w:color w:val="0000FF"/>
          </w:rPr>
          <w:t>N 28-ОЗ</w:t>
        </w:r>
      </w:hyperlink>
      <w:r>
        <w:t>)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3. Дополнительные требования в отношении региональных инвестиционных проектов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r>
        <w:t xml:space="preserve">В дополнение к требованиям, установленным </w:t>
      </w:r>
      <w:hyperlink r:id="rId10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Федерации, установить, что региональный инвестиционный проект не может быть направлен на следующие цели: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1) добыча полезных ископаемых;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2) производство кокса и нефтепродуктов;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lastRenderedPageBreak/>
        <w:t>3) производство химических веществ и химических продуктов;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4) производство металлургическое;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5) производство, передача и распределение электроэнергии (за исключением производства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работоспособности);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6) производство, передача и распределение пара и горячей воды; кондиционирование воздуха.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bookmarkStart w:id="0" w:name="P38"/>
      <w:bookmarkEnd w:id="0"/>
      <w:r>
        <w:t>Статья 4. Порядок принятия решения о включении или об отказе во включении организации в реестр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bookmarkStart w:id="1" w:name="P40"/>
      <w:bookmarkEnd w:id="1"/>
      <w:r>
        <w:t>1. Для включения в реестр организация (далее также - заявитель) направляет в уполномоченный орган составленное в произвольной форме заявление о включении в реестр с приложением следующих документов:</w:t>
      </w:r>
    </w:p>
    <w:p w:rsidR="00D85456" w:rsidRDefault="00D85456">
      <w:pPr>
        <w:pStyle w:val="ConsPlusNormal"/>
        <w:spacing w:before="220"/>
        <w:ind w:firstLine="540"/>
        <w:jc w:val="both"/>
      </w:pPr>
      <w:bookmarkStart w:id="2" w:name="P41"/>
      <w:bookmarkEnd w:id="2"/>
      <w:r>
        <w:t>1) копии учредительных документов организации;</w:t>
      </w:r>
    </w:p>
    <w:p w:rsidR="00D85456" w:rsidRDefault="00D85456">
      <w:pPr>
        <w:pStyle w:val="ConsPlusNormal"/>
        <w:spacing w:before="220"/>
        <w:ind w:firstLine="540"/>
        <w:jc w:val="both"/>
      </w:pPr>
      <w:bookmarkStart w:id="3" w:name="P42"/>
      <w:bookmarkEnd w:id="3"/>
      <w:r>
        <w:t>2) копия документа, подтверждающего факт внесения записи о государственной регистрации организации в Единый государственный реестр юридических лиц;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3) копия свидетельства о постановке организации на учет в налоговом органе;</w:t>
      </w:r>
    </w:p>
    <w:p w:rsidR="00D85456" w:rsidRDefault="00D85456">
      <w:pPr>
        <w:pStyle w:val="ConsPlusNormal"/>
        <w:spacing w:before="220"/>
        <w:ind w:firstLine="540"/>
        <w:jc w:val="both"/>
      </w:pPr>
      <w:bookmarkStart w:id="4" w:name="P44"/>
      <w:bookmarkEnd w:id="4"/>
      <w:r>
        <w:t>4) копии документов, подтверждающих полномочия руководителя организации;</w:t>
      </w:r>
    </w:p>
    <w:p w:rsidR="00D85456" w:rsidRDefault="00D85456">
      <w:pPr>
        <w:pStyle w:val="ConsPlusNormal"/>
        <w:spacing w:before="220"/>
        <w:ind w:firstLine="540"/>
        <w:jc w:val="both"/>
      </w:pPr>
      <w:bookmarkStart w:id="5" w:name="P45"/>
      <w:bookmarkEnd w:id="5"/>
      <w:r>
        <w:t>5) инвестиционная декларация (с приложением инвестиционного проекта);</w:t>
      </w:r>
    </w:p>
    <w:p w:rsidR="00D85456" w:rsidRDefault="00D85456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6) документы, подтверждающие наличие у заявителя собственных средств (заключенные договоры займа от учредителей с подтверждением наличия у учредителей средств, необходимых для исполнения данного договора, документы бухгалтерской отчетности, содержащие информацию о наличии чистой прибыли и (или) нераспределенной прибыли прошлых лет заявителя, решение учредителей об увеличении уставного капитала для реализации регионального инвестиционного проекта, иные документы, свидетельствующие о наличии собственных средств) и (или) источников заемных средств (решения кредитных организаций о предоставлении заемных средств, заключенные кредитные договоры или договоры займа, иные документы, свидетельствующие о наличии заемных средств), необходимых для реализации регионального инвестиционного проекта, в сумме, не менее указанной в </w:t>
      </w:r>
      <w:hyperlink r:id="rId11">
        <w:r>
          <w:rPr>
            <w:color w:val="0000FF"/>
          </w:rPr>
          <w:t>подпункте 4 пункта 1 статьи 25.8</w:t>
        </w:r>
      </w:hyperlink>
      <w:r>
        <w:t xml:space="preserve"> Налогового кодекса Российской Федерации.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К заявлению о включении в реестр помимо документов, указанных в настоящем пункте, по инициативе заявителя могут быть приложены иные документы, подтверждающие соответствие требованиям к региональным инвестиционным проектам и (или) их участникам, установленным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руководителя и печатью заявителя (при наличии).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2. Уполномоченный орган проверяет соответствие документов, приложенных к заявлению о включении в реестр, перечню документов, указанных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настоящей статьи, в срок не более чем три рабочих дня со дня их представления в уполномоченный орган и на основании результатов указанной проверки направляет организации одно из следующих решений: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1) о принятии указанного заявления к рассмотрению;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lastRenderedPageBreak/>
        <w:t xml:space="preserve">2) об отказе в принятии указанного заявления к рассмотрению в случае непредставления документов,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, </w:t>
      </w:r>
      <w:hyperlink w:anchor="P44">
        <w:r>
          <w:rPr>
            <w:color w:val="0000FF"/>
          </w:rPr>
          <w:t>4</w:t>
        </w:r>
      </w:hyperlink>
      <w:r>
        <w:t xml:space="preserve">, </w:t>
      </w:r>
      <w:hyperlink w:anchor="P45">
        <w:r>
          <w:rPr>
            <w:color w:val="0000FF"/>
          </w:rPr>
          <w:t>5</w:t>
        </w:r>
      </w:hyperlink>
      <w:r>
        <w:t xml:space="preserve">, </w:t>
      </w:r>
      <w:hyperlink w:anchor="P46">
        <w:r>
          <w:rPr>
            <w:color w:val="0000FF"/>
          </w:rPr>
          <w:t>6 пункта 1</w:t>
        </w:r>
      </w:hyperlink>
      <w:r>
        <w:t xml:space="preserve"> настоящей статьи.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3. Уполномоченный орган в течение трех рабочих дней со дня принятия заявления о включении в реестр к рассмотрению направляет межведомственный запрос в территориальный орган федерального органа исполнительной власти, уполномоченный по контролю и надзору в области налогов и сборов, для подтверждения следующих сведений: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1) государственная регистрация организации в качестве юридического лица осуществлена на территории Кемеровской области - Кузбасса (если документ, указанный в </w:t>
      </w:r>
      <w:hyperlink w:anchor="P42">
        <w:r>
          <w:rPr>
            <w:color w:val="0000FF"/>
          </w:rPr>
          <w:t>подпункте 2 пункта 1</w:t>
        </w:r>
      </w:hyperlink>
      <w:r>
        <w:t xml:space="preserve"> настоящей статьи, не представлен организацией самостоятельно);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2) организация не имеет в своем составе обособленных подразделений, расположенных за пределами территории Кемеровской области;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3) организация не применяет специальных налоговых режимов, предусмотренных частью второй Налогового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4) организация не является участником консолидированной группы налогоплательщиков;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5) организация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6) организация не является резидентом особой экономической зоны любого типа или территории опережающего социально-экономического развития;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7) организация ранее не была участником регионального инвестиционного проекта и не является участником (правопреемником участника) иного реализуемого регионального инвестиционного проекта.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4. В течение 30 дней со дня направления организации решения о принятии заявления к рассмотрению уполномоченный орган принимает решение о включении организации в реестр или об отказе во включении организации в реестр в случае несоблюдения требований к региональным инвестиционным проектам, установленных Налоговым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Решение о включении организации в реестр или об отказе во включении организации в реестр принимается уполномоченным органом в соответствии со </w:t>
      </w:r>
      <w:hyperlink r:id="rId15">
        <w:r>
          <w:rPr>
            <w:color w:val="0000FF"/>
          </w:rPr>
          <w:t>статьей 25.11</w:t>
        </w:r>
      </w:hyperlink>
      <w:r>
        <w:t xml:space="preserve"> Налогового кодекса Российской Федерации в форме приказа уполномоченного органа.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5. Не позднее пяти рабочих дней со дня принятия решения о включении организации в реестр или об отказе во включении организации в реестр уполномоченный орган направляет его организации.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6. Решение о включении организации в реестр и документы, определенные </w:t>
      </w:r>
      <w:hyperlink w:anchor="P45">
        <w:r>
          <w:rPr>
            <w:color w:val="0000FF"/>
          </w:rPr>
          <w:t>подпунктом 5 пункта 1</w:t>
        </w:r>
      </w:hyperlink>
      <w:r>
        <w:t xml:space="preserve"> настоящей статьи, направляются в электронной форме в территориальный орган федерального органа исполнительной власти, уполномоченный по контролю и надзору в области налогов и сборов, в течение трех рабочих дней со дня принятия указанного решения.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7. В случае реализации регионального инвестиционного проекта на территориях нескольких субъектов Российской Федерации в соответствии с </w:t>
      </w:r>
      <w:hyperlink r:id="rId16">
        <w:r>
          <w:rPr>
            <w:color w:val="0000FF"/>
          </w:rPr>
          <w:t>пунктом 2 статьи 25.8</w:t>
        </w:r>
      </w:hyperlink>
      <w:r>
        <w:t xml:space="preserve"> Налогового кодекса Российской Федерации решение о включении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Федерации, на территориях которых реализуется региональный инвестиционный проект, в течение 40 дней со дня направления организации </w:t>
      </w:r>
      <w:r>
        <w:lastRenderedPageBreak/>
        <w:t>решения о принятии заявления о включении организации в реестр к рассмотрению.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5. Порядок и условия принятия решения о внесении изменений в реестр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r>
        <w:t>1. Решение о внесении изменений в реестр, не связанных с прекращением статуса участника регионального инвестиционного проекта, принимается уполномоченным органом в случае внесения изменений в инвестиционную декларацию, касающихся условий реализации регионального инвестиционного проекта.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2. Для внесения в инвестиционную декларацию изменений, касающихся условий реализации регионального инвестиционного проекта, участник регионального инвестиционного проекта направляет в уполномоченный орган заявление, составленное в произвольной форме, содержащее обоснование необходимости внесения таких изменений.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3. Внесение в инвестиционную декларацию изменений, касающихся условий реализации регионального инвестиционного проекта, осуществляется уполномоченным органом в порядке, предусмотренном </w:t>
      </w:r>
      <w:hyperlink w:anchor="P38">
        <w:r>
          <w:rPr>
            <w:color w:val="0000FF"/>
          </w:rPr>
          <w:t>статьей 4</w:t>
        </w:r>
      </w:hyperlink>
      <w:r>
        <w:t xml:space="preserve"> настоящего Закона для включения организации в реестр.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4. Уполномоченный орган отказывает участнику регионального инвестиционного проекта во внесении изменений в инвестиционную декларацию по основаниям, предусмотренным </w:t>
      </w:r>
      <w:hyperlink r:id="rId17">
        <w:r>
          <w:rPr>
            <w:color w:val="0000FF"/>
          </w:rPr>
          <w:t>пунктом 3 статьи 25.12</w:t>
        </w:r>
      </w:hyperlink>
      <w:r>
        <w:t xml:space="preserve"> Налогового кодекса Российской Федерации.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5. Решение о внесении изменений в реестр, не связанных с прекращением статуса участника регионального инвестиционного проекта, направляется в электронной форме в территориальный орган федерального органа исполнительной власти, уполномоченный по контролю и надзору в области налогов и сборов, в течение трех рабочих дней со дня принятия указанного решения.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6. Налоговые льготы по налогу на прибыль организаций и налогу на имущество организаций участникам региональных инвестиционных проектов, включенным в реестр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bookmarkStart w:id="7" w:name="P76"/>
      <w:bookmarkEnd w:id="7"/>
      <w:r>
        <w:t xml:space="preserve">1. Для налогоплательщиков - участников региональных инвестиционных проектов, включенных в реестр, налоговая ставка налога на прибыль организаций, подлежащего зачислению в областной бюджет, устанавливается в размере 10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установленной настоящей статьей пониженной налоговой ставки, определенная нарастающим итогом за указанные отчетные (налоговые) периоды, превысила величину, равную 50 процентам объема осуществленных в целях реализации инвестиционного проекта капитальных вложений, определяемого в соответствии с </w:t>
      </w:r>
      <w:hyperlink r:id="rId18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 Федерации.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2. Налогоплательщикам - участникам региональных инвестиционных проектов, включенных в реестр, в отношении имущества, созданного (приобретенного) в рамках реализации регионального инвестиционного проекта в результате осуществления капитальных вложений в соответствии с </w:t>
      </w:r>
      <w:hyperlink r:id="rId19">
        <w:r>
          <w:rPr>
            <w:color w:val="0000FF"/>
          </w:rPr>
          <w:t>пунктом 3 статьи 25.8</w:t>
        </w:r>
      </w:hyperlink>
      <w:r>
        <w:t xml:space="preserve"> Налогового кодекса Российской Федерации и принятого на учет в качестве объектов основных средств после дня включения организации в реестр, предоставляется налоговая льгота по налогу на имущество организаций в виде: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освобождения от уплаты налога в течение пяти налоговых периодов, начиная с налогового периода, в котором организация включена в реестр;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уменьшения на 50 процентов исчисленной суммы налога в течение следующих пяти налоговых периодов.</w:t>
      </w:r>
    </w:p>
    <w:p w:rsidR="00D85456" w:rsidRDefault="00D85456">
      <w:pPr>
        <w:pStyle w:val="ConsPlusNormal"/>
        <w:jc w:val="both"/>
      </w:pPr>
      <w:r>
        <w:lastRenderedPageBreak/>
        <w:t xml:space="preserve">(п. 2 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- Кузбасса от 30.11.2022 N 132-ОЗ)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3. Налогоплательщик - участник регионального инвестиционного проекта, применяет налоговые ставки в размерах, предусмотренных </w:t>
      </w:r>
      <w:hyperlink w:anchor="P76">
        <w:r>
          <w:rPr>
            <w:color w:val="0000FF"/>
          </w:rPr>
          <w:t>пунктом 1</w:t>
        </w:r>
      </w:hyperlink>
      <w:r>
        <w:t xml:space="preserve"> настоящей статьи: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 xml:space="preserve">ко всей налоговой базе, определяемой в соответствии с </w:t>
      </w:r>
      <w:hyperlink r:id="rId2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Федерации, в случае, если доходы от реализации товаров, произведенных в рамках реализации инвестиционного проекта, в отношении которого установлен статус регионального инвестиционного проекта, составляют не менее 90 процентов всех доходов, учитываемых при определении налоговой базы по налогу в соответствии с </w:t>
      </w:r>
      <w:hyperlink r:id="rId22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 (без учета доходов в виде положительной курсовой разницы, предусмотренных </w:t>
      </w:r>
      <w:hyperlink r:id="rId23">
        <w:r>
          <w:rPr>
            <w:color w:val="0000FF"/>
          </w:rPr>
          <w:t>пунктом 11 части второй статьи 250</w:t>
        </w:r>
      </w:hyperlink>
      <w:r>
        <w:t xml:space="preserve"> Налогового кодекса Российской Федерации);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к налоговой базе от деятельности, осуществляемой в рамках реализации инвестиционного проекта, который имеет статус регионального инвестиционного проекта, при условии ведения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деятельности.</w:t>
      </w:r>
    </w:p>
    <w:p w:rsidR="00D85456" w:rsidRDefault="00D85456">
      <w:pPr>
        <w:pStyle w:val="ConsPlusNormal"/>
        <w:spacing w:before="220"/>
        <w:ind w:firstLine="540"/>
        <w:jc w:val="both"/>
      </w:pPr>
      <w:r>
        <w:t>При этом выбранный способ определения налоговой базы должен быть закреплен в учетной политике и не подлежит изменению в течение срока действия статуса участника регионального инвестиционного проекта.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ind w:firstLine="540"/>
        <w:jc w:val="both"/>
      </w:pPr>
      <w:r>
        <w:t>Настоящий Закон вступает в силу с 1 января 2020 года, но не ранее дня его официального опубликования и действует по 31 декабря 2028 года включительно.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jc w:val="right"/>
      </w:pPr>
      <w:r>
        <w:t>Губернатор</w:t>
      </w:r>
    </w:p>
    <w:p w:rsidR="00D85456" w:rsidRDefault="00D85456">
      <w:pPr>
        <w:pStyle w:val="ConsPlusNormal"/>
        <w:jc w:val="right"/>
      </w:pPr>
      <w:r>
        <w:t>Кемеровской области - Кузбасса</w:t>
      </w:r>
    </w:p>
    <w:p w:rsidR="00D85456" w:rsidRDefault="00D85456">
      <w:pPr>
        <w:pStyle w:val="ConsPlusNormal"/>
        <w:jc w:val="right"/>
      </w:pPr>
      <w:r>
        <w:t>С.Е.ЦИВИЛЕВ</w:t>
      </w:r>
    </w:p>
    <w:p w:rsidR="00D85456" w:rsidRDefault="00D85456">
      <w:pPr>
        <w:pStyle w:val="ConsPlusNormal"/>
      </w:pPr>
      <w:r>
        <w:t>г. Кемерово</w:t>
      </w:r>
    </w:p>
    <w:p w:rsidR="00D85456" w:rsidRDefault="00D85456">
      <w:pPr>
        <w:pStyle w:val="ConsPlusNormal"/>
        <w:spacing w:before="220"/>
      </w:pPr>
      <w:r>
        <w:t>24 декабря 2019 года</w:t>
      </w:r>
    </w:p>
    <w:p w:rsidR="00D85456" w:rsidRDefault="00D85456">
      <w:pPr>
        <w:pStyle w:val="ConsPlusNormal"/>
        <w:spacing w:before="220"/>
      </w:pPr>
      <w:r>
        <w:t>N 160-ОЗ</w:t>
      </w: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jc w:val="both"/>
      </w:pPr>
    </w:p>
    <w:p w:rsidR="00D85456" w:rsidRDefault="00D85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8" w:name="_GoBack"/>
      <w:bookmarkEnd w:id="8"/>
    </w:p>
    <w:sectPr w:rsidR="002B7CE2" w:rsidSect="006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6"/>
    <w:rsid w:val="002B7CE2"/>
    <w:rsid w:val="00D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0362F-E5B2-4745-82D8-7B36482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9A9BE253C7D5B1B04DF20C7C041A46D01DC62EB61938EC18545DE63276B324FC9187ED009B34BD6E228BD6D87F86553329805ECE6479532F6E3ABo7D7E" TargetMode="External"/><Relationship Id="rId13" Type="http://schemas.openxmlformats.org/officeDocument/2006/relationships/hyperlink" Target="consultantplus://offline/ref=0399A9BE253C7D5B1B04C12DD1AC1DA16D0E8A6EEC6698DA95D543893C776D671D894627924FA04AD1FC2ABA6Fo8DFE" TargetMode="External"/><Relationship Id="rId18" Type="http://schemas.openxmlformats.org/officeDocument/2006/relationships/hyperlink" Target="consultantplus://offline/ref=0399A9BE253C7D5B1B04C12DD1AC1DA16D0E8766E86698DA95D543893C776D670F891E2B9144B943DDB679FE3881AD360967921AECF845o9D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99A9BE253C7D5B1B04C12DD1AC1DA16D0E8766E86698DA95D543893C776D670F891E2B934CB649D2E97CEB29D9A13515799503F0FA4790o2DFE" TargetMode="External"/><Relationship Id="rId7" Type="http://schemas.openxmlformats.org/officeDocument/2006/relationships/hyperlink" Target="consultantplus://offline/ref=0399A9BE253C7D5B1B04C12DD1AC1DA16D0E8A6EEC6698DA95D543893C776D670F891E289444BB4182B36CEF608DAE2A17608B06EEFAo4D4E" TargetMode="External"/><Relationship Id="rId12" Type="http://schemas.openxmlformats.org/officeDocument/2006/relationships/hyperlink" Target="consultantplus://offline/ref=0399A9BE253C7D5B1B04C12DD1AC1DA16D0E8A6EEC6698DA95D543893C776D671D894627924FA04AD1FC2ABA6Fo8DFE" TargetMode="External"/><Relationship Id="rId17" Type="http://schemas.openxmlformats.org/officeDocument/2006/relationships/hyperlink" Target="consultantplus://offline/ref=0399A9BE253C7D5B1B04C12DD1AC1DA16D0E8A6EEC6698DA95D543893C776D670F891E289B4CB94182B36CEF608DAE2A17608B06EEFAo4D4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99A9BE253C7D5B1B04C12DD1AC1DA16D0E8A6EEC6698DA95D543893C776D670F891E299544BD4182B36CEF608DAE2A17608B06EEFAo4D4E" TargetMode="External"/><Relationship Id="rId20" Type="http://schemas.openxmlformats.org/officeDocument/2006/relationships/hyperlink" Target="consultantplus://offline/ref=0399A9BE253C7D5B1B04DF20C7C041A46D01DC62EB61938EC18545DE63276B324FC9187ED009B34BD6E228BD6C87F86553329805ECE6479532F6E3ABo7D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9A9BE253C7D5B1B04DF20C7C041A46D01DC62EB619788CB8845DE63276B324FC9187ED009B34BD6E22DB86987F86553329805ECE6479532F6E3ABo7D7E" TargetMode="External"/><Relationship Id="rId11" Type="http://schemas.openxmlformats.org/officeDocument/2006/relationships/hyperlink" Target="consultantplus://offline/ref=0399A9BE253C7D5B1B04C12DD1AC1DA16D0E8A6EEC6698DA95D543893C776D670F891E2E9B4EB64182B36CEF608DAE2A17608B06EEFAo4D4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399A9BE253C7D5B1B04DF20C7C041A46D01DC62EB61938EC18545DE63276B324FC9187ED009B34BD6E228BC6487F86553329805ECE6479532F6E3ABo7D7E" TargetMode="External"/><Relationship Id="rId15" Type="http://schemas.openxmlformats.org/officeDocument/2006/relationships/hyperlink" Target="consultantplus://offline/ref=0399A9BE253C7D5B1B04C12DD1AC1DA16D0E8A6EEC6698DA95D543893C776D670F891E289444B64182B36CEF608DAE2A17608B06EEFAo4D4E" TargetMode="External"/><Relationship Id="rId23" Type="http://schemas.openxmlformats.org/officeDocument/2006/relationships/hyperlink" Target="consultantplus://offline/ref=0399A9BE253C7D5B1B04C12DD1AC1DA16D0E8766E86698DA95D543893C776D670F891E239445BD4182B36CEF608DAE2A17608B06EEFAo4D4E" TargetMode="External"/><Relationship Id="rId10" Type="http://schemas.openxmlformats.org/officeDocument/2006/relationships/hyperlink" Target="consultantplus://offline/ref=0399A9BE253C7D5B1B04C12DD1AC1DA16D0E8A6EEC6698DA95D543893C776D670F891E289449B84182B36CEF608DAE2A17608B06EEFAo4D4E" TargetMode="External"/><Relationship Id="rId19" Type="http://schemas.openxmlformats.org/officeDocument/2006/relationships/hyperlink" Target="consultantplus://offline/ref=0399A9BE253C7D5B1B04C12DD1AC1DA16D0E8A6EEC6698DA95D543893C776D670F891E299544B84182B36CEF608DAE2A17608B06EEFAo4D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99A9BE253C7D5B1B04DF20C7C041A46D01DC62EB619788CB8845DE63276B324FC9187ED009B34BD6E22DB86987F86553329805ECE6479532F6E3ABo7D7E" TargetMode="External"/><Relationship Id="rId14" Type="http://schemas.openxmlformats.org/officeDocument/2006/relationships/hyperlink" Target="consultantplus://offline/ref=0399A9BE253C7D5B1B04C12DD1AC1DA16D0E8A6EEC6698DA95D543893C776D671D894627924FA04AD1FC2ABA6Fo8DFE" TargetMode="External"/><Relationship Id="rId22" Type="http://schemas.openxmlformats.org/officeDocument/2006/relationships/hyperlink" Target="consultantplus://offline/ref=0399A9BE253C7D5B1B04C12DD1AC1DA16D0E8766E86698DA95D543893C776D670F891E2B934CB649D2E97CEB29D9A13515799503F0FA4790o2D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2023-07-12T04:03:00Z</dcterms:created>
  <dcterms:modified xsi:type="dcterms:W3CDTF">2023-07-12T04:04:00Z</dcterms:modified>
</cp:coreProperties>
</file>